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491AE45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7E7F5A">
        <w:rPr>
          <w:rFonts w:cstheme="minorHAnsi"/>
          <w:color w:val="44546A" w:themeColor="text2"/>
          <w:sz w:val="28"/>
          <w:szCs w:val="28"/>
          <w:lang w:val="es-MX"/>
        </w:rPr>
        <w:t>octubre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014A5809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244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525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Doscientos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>Cuarenta y Cuatro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Quinientos Veinticinco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856A" w14:textId="77777777" w:rsidR="00D63ADC" w:rsidRDefault="00D63ADC" w:rsidP="005B1EDE">
      <w:r>
        <w:separator/>
      </w:r>
    </w:p>
  </w:endnote>
  <w:endnote w:type="continuationSeparator" w:id="0">
    <w:p w14:paraId="3BFB9A6D" w14:textId="77777777" w:rsidR="00D63ADC" w:rsidRDefault="00D63AD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2F24" w14:textId="77777777" w:rsidR="00D63ADC" w:rsidRDefault="00D63ADC" w:rsidP="005B1EDE">
      <w:r>
        <w:separator/>
      </w:r>
    </w:p>
  </w:footnote>
  <w:footnote w:type="continuationSeparator" w:id="0">
    <w:p w14:paraId="65EDE3D3" w14:textId="77777777" w:rsidR="00D63ADC" w:rsidRDefault="00D63AD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66B80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1100C"/>
    <w:rsid w:val="00443236"/>
    <w:rsid w:val="00450C70"/>
    <w:rsid w:val="004B695F"/>
    <w:rsid w:val="004C46A5"/>
    <w:rsid w:val="004C5A6F"/>
    <w:rsid w:val="00500E38"/>
    <w:rsid w:val="005232ED"/>
    <w:rsid w:val="00536D7F"/>
    <w:rsid w:val="005937A2"/>
    <w:rsid w:val="005B1EDE"/>
    <w:rsid w:val="005E5273"/>
    <w:rsid w:val="005F3644"/>
    <w:rsid w:val="00631427"/>
    <w:rsid w:val="00636DD2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E7F5A"/>
    <w:rsid w:val="007F0C21"/>
    <w:rsid w:val="00801937"/>
    <w:rsid w:val="008140B0"/>
    <w:rsid w:val="008237C8"/>
    <w:rsid w:val="0087076D"/>
    <w:rsid w:val="00870EF5"/>
    <w:rsid w:val="008C4A6E"/>
    <w:rsid w:val="0091423F"/>
    <w:rsid w:val="00922D31"/>
    <w:rsid w:val="00956653"/>
    <w:rsid w:val="00970F81"/>
    <w:rsid w:val="00977A5F"/>
    <w:rsid w:val="009A0CB2"/>
    <w:rsid w:val="009A228A"/>
    <w:rsid w:val="009B4BE2"/>
    <w:rsid w:val="009D3274"/>
    <w:rsid w:val="00A44741"/>
    <w:rsid w:val="00A858EF"/>
    <w:rsid w:val="00AB10C1"/>
    <w:rsid w:val="00AB42B8"/>
    <w:rsid w:val="00AE1ED7"/>
    <w:rsid w:val="00AE6C9B"/>
    <w:rsid w:val="00B107C1"/>
    <w:rsid w:val="00B34C40"/>
    <w:rsid w:val="00B418CD"/>
    <w:rsid w:val="00B96425"/>
    <w:rsid w:val="00BB04A6"/>
    <w:rsid w:val="00BB6D6A"/>
    <w:rsid w:val="00BE3D4B"/>
    <w:rsid w:val="00C33AEB"/>
    <w:rsid w:val="00C64395"/>
    <w:rsid w:val="00C66245"/>
    <w:rsid w:val="00C75E5E"/>
    <w:rsid w:val="00C8500A"/>
    <w:rsid w:val="00CC45B2"/>
    <w:rsid w:val="00CE120F"/>
    <w:rsid w:val="00CE201F"/>
    <w:rsid w:val="00CF1A6F"/>
    <w:rsid w:val="00D109F0"/>
    <w:rsid w:val="00D63ADC"/>
    <w:rsid w:val="00D63ED8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68BD"/>
    <w:rsid w:val="00F744B2"/>
    <w:rsid w:val="00F8100F"/>
    <w:rsid w:val="00FA2248"/>
    <w:rsid w:val="00FE3423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21</cp:revision>
  <cp:lastPrinted>2025-10-27T21:28:00Z</cp:lastPrinted>
  <dcterms:created xsi:type="dcterms:W3CDTF">2024-02-02T15:00:00Z</dcterms:created>
  <dcterms:modified xsi:type="dcterms:W3CDTF">2025-10-28T16:08:00Z</dcterms:modified>
</cp:coreProperties>
</file>